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A34" w14:textId="77777777" w:rsidR="00C85909" w:rsidRDefault="00000000">
      <w:pPr>
        <w:pStyle w:val="Heading1"/>
        <w:spacing w:after="240"/>
      </w:pPr>
      <w:r>
        <w:rPr>
          <w:rFonts w:ascii="Cambria" w:eastAsia="Cambria" w:hAnsi="Cambria" w:cs="Cambria"/>
          <w:color w:val="00274C"/>
        </w:rPr>
        <w:t>PallyWally.org Frequently Asked Questions</w:t>
      </w:r>
    </w:p>
    <w:p w14:paraId="6FEAD2F2" w14:textId="77777777" w:rsidR="00C85909" w:rsidRDefault="00000000">
      <w:pPr>
        <w:spacing w:after="200"/>
      </w:pPr>
      <w:r>
        <w:rPr>
          <w:rFonts w:ascii="Segoe UI" w:eastAsia="Segoe UI" w:hAnsi="Segoe UI" w:cs="Segoe UI"/>
          <w:sz w:val="22"/>
          <w:szCs w:val="22"/>
        </w:rPr>
        <w:t xml:space="preserve">For agency staff and leadership considering approval, including adding </w:t>
      </w: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to the organization's approved resources list.</w:t>
      </w:r>
    </w:p>
    <w:p w14:paraId="1EAB87C0" w14:textId="77777777" w:rsidR="00C85909" w:rsidRDefault="00000000">
      <w:pPr>
        <w:pStyle w:val="Heading2"/>
        <w:spacing w:before="200" w:after="120"/>
      </w:pPr>
      <w:r>
        <w:rPr>
          <w:rFonts w:ascii="Cambria" w:eastAsia="Cambria" w:hAnsi="Cambria" w:cs="Cambria"/>
          <w:b/>
          <w:bCs/>
          <w:color w:val="00274C"/>
        </w:rPr>
        <w:t xml:space="preserve">What is </w:t>
      </w:r>
      <w:proofErr w:type="spellStart"/>
      <w:r>
        <w:rPr>
          <w:rFonts w:ascii="Cambria" w:eastAsia="Cambria" w:hAnsi="Cambria" w:cs="Cambria"/>
          <w:b/>
          <w:bCs/>
          <w:color w:val="00274C"/>
        </w:rPr>
        <w:t>PallyWally</w:t>
      </w:r>
      <w:proofErr w:type="spellEnd"/>
    </w:p>
    <w:p w14:paraId="358391B7" w14:textId="77777777" w:rsidR="00C85909" w:rsidRDefault="00000000">
      <w:pPr>
        <w:spacing w:after="200"/>
      </w:pPr>
      <w:r>
        <w:rPr>
          <w:rFonts w:ascii="Segoe UI" w:eastAsia="Segoe UI" w:hAnsi="Segoe UI" w:cs="Segoe UI"/>
          <w:sz w:val="22"/>
          <w:szCs w:val="22"/>
        </w:rPr>
        <w:t xml:space="preserve">PallyWally.org is a free, no </w:t>
      </w:r>
      <w:proofErr w:type="gramStart"/>
      <w:r>
        <w:rPr>
          <w:rFonts w:ascii="Segoe UI" w:eastAsia="Segoe UI" w:hAnsi="Segoe UI" w:cs="Segoe UI"/>
          <w:sz w:val="22"/>
          <w:szCs w:val="22"/>
        </w:rPr>
        <w:t>sign up</w:t>
      </w:r>
      <w:proofErr w:type="gramEnd"/>
      <w:r>
        <w:rPr>
          <w:rFonts w:ascii="Segoe UI" w:eastAsia="Segoe UI" w:hAnsi="Segoe UI" w:cs="Segoe UI"/>
          <w:sz w:val="22"/>
          <w:szCs w:val="22"/>
        </w:rPr>
        <w:t xml:space="preserve"> website that helps people find essential services such as food, housing, healthcare, mental health support, employment help, and more than twenty other categories. It also includes a small set of writing and document tools: a document summarizer, a letter drafting assistant that handles both appeals and requests, a resume builder, and a career advisor. It includes a dedicated section for college students at pallywally.org/students.</w:t>
      </w:r>
    </w:p>
    <w:p w14:paraId="1379DF77" w14:textId="77777777" w:rsidR="00C85909" w:rsidRDefault="00000000">
      <w:pPr>
        <w:pStyle w:val="Heading2"/>
        <w:spacing w:before="200" w:after="120"/>
      </w:pPr>
      <w:r>
        <w:rPr>
          <w:rFonts w:ascii="Cambria" w:eastAsia="Cambria" w:hAnsi="Cambria" w:cs="Cambria"/>
          <w:b/>
          <w:bCs/>
          <w:color w:val="00274C"/>
        </w:rPr>
        <w:t xml:space="preserve">What does </w:t>
      </w:r>
      <w:proofErr w:type="spellStart"/>
      <w:r>
        <w:rPr>
          <w:rFonts w:ascii="Cambria" w:eastAsia="Cambria" w:hAnsi="Cambria" w:cs="Cambria"/>
          <w:b/>
          <w:bCs/>
          <w:color w:val="00274C"/>
        </w:rPr>
        <w:t>PallyWally</w:t>
      </w:r>
      <w:proofErr w:type="spellEnd"/>
      <w:r>
        <w:rPr>
          <w:rFonts w:ascii="Cambria" w:eastAsia="Cambria" w:hAnsi="Cambria" w:cs="Cambria"/>
          <w:b/>
          <w:bCs/>
          <w:color w:val="00274C"/>
        </w:rPr>
        <w:t xml:space="preserve"> handle, and what stays with our case workers</w:t>
      </w:r>
    </w:p>
    <w:p w14:paraId="457EA4BB" w14:textId="77777777" w:rsidR="00C85909" w:rsidRDefault="00000000">
      <w:pPr>
        <w:spacing w:after="200"/>
      </w:pP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handles the lookup and drafting work, such as searching for local resources, summarizing a benefits letter, or producing a first draft of an appeal or a request, so that case workers can focus their time on assessing a client's full situation, making eligibility related judgment calls, advocating on a client's behalf, coordinating across agencies, and supporting someone through a crisis. That judgment based and </w:t>
      </w:r>
      <w:proofErr w:type="gramStart"/>
      <w:r>
        <w:rPr>
          <w:rFonts w:ascii="Segoe UI" w:eastAsia="Segoe UI" w:hAnsi="Segoe UI" w:cs="Segoe UI"/>
          <w:sz w:val="22"/>
          <w:szCs w:val="22"/>
        </w:rPr>
        <w:t>relationship based</w:t>
      </w:r>
      <w:proofErr w:type="gramEnd"/>
      <w:r>
        <w:rPr>
          <w:rFonts w:ascii="Segoe UI" w:eastAsia="Segoe UI" w:hAnsi="Segoe UI" w:cs="Segoe UI"/>
          <w:sz w:val="22"/>
          <w:szCs w:val="22"/>
        </w:rPr>
        <w:t xml:space="preserve"> work stays entirely with the case worker.</w:t>
      </w:r>
    </w:p>
    <w:p w14:paraId="2682853C" w14:textId="77777777" w:rsidR="00C85909" w:rsidRDefault="00000000">
      <w:pPr>
        <w:pStyle w:val="Heading2"/>
        <w:spacing w:before="200" w:after="120"/>
      </w:pPr>
      <w:r>
        <w:rPr>
          <w:rFonts w:ascii="Cambria" w:eastAsia="Cambria" w:hAnsi="Cambria" w:cs="Cambria"/>
          <w:b/>
          <w:bCs/>
          <w:color w:val="00274C"/>
        </w:rPr>
        <w:t>Why introduce this now</w:t>
      </w:r>
    </w:p>
    <w:p w14:paraId="783E0677" w14:textId="77777777" w:rsidR="00C85909" w:rsidRDefault="00000000">
      <w:pPr>
        <w:spacing w:after="200"/>
      </w:pP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is meant to remove repetitive research, reading, and drafting tasks so that staff have more time available for the parts of the job that require a trained person. Case </w:t>
      </w:r>
      <w:proofErr w:type="gramStart"/>
      <w:r>
        <w:rPr>
          <w:rFonts w:ascii="Segoe UI" w:eastAsia="Segoe UI" w:hAnsi="Segoe UI" w:cs="Segoe UI"/>
          <w:sz w:val="22"/>
          <w:szCs w:val="22"/>
        </w:rPr>
        <w:t>workers who</w:t>
      </w:r>
      <w:proofErr w:type="gramEnd"/>
      <w:r>
        <w:rPr>
          <w:rFonts w:ascii="Segoe UI" w:eastAsia="Segoe UI" w:hAnsi="Segoe UI" w:cs="Segoe UI"/>
          <w:sz w:val="22"/>
          <w:szCs w:val="22"/>
        </w:rPr>
        <w:t xml:space="preserve"> reviewed it described it as freeing up time for higher value work such as assessment, advocacy, and coordination. Clients also tend to arrive at appointments already informed, having looked something up or had a letter explained beforehand, which means less time spent on basic redirection.</w:t>
      </w:r>
    </w:p>
    <w:p w14:paraId="7E8B01DB" w14:textId="77777777" w:rsidR="00C85909" w:rsidRDefault="00000000">
      <w:pPr>
        <w:pStyle w:val="Heading2"/>
        <w:spacing w:before="200" w:after="120"/>
      </w:pPr>
      <w:r>
        <w:rPr>
          <w:rFonts w:ascii="Cambria" w:eastAsia="Cambria" w:hAnsi="Cambria" w:cs="Cambria"/>
          <w:b/>
          <w:bCs/>
          <w:color w:val="00274C"/>
        </w:rPr>
        <w:t>Is it free for clients and for our agency</w:t>
      </w:r>
    </w:p>
    <w:p w14:paraId="35D32DDD" w14:textId="77777777" w:rsidR="00C85909" w:rsidRDefault="00000000">
      <w:pPr>
        <w:spacing w:after="200"/>
      </w:pPr>
      <w:r>
        <w:rPr>
          <w:rFonts w:ascii="Segoe UI" w:eastAsia="Segoe UI" w:hAnsi="Segoe UI" w:cs="Segoe UI"/>
          <w:sz w:val="22"/>
          <w:szCs w:val="22"/>
        </w:rPr>
        <w:t xml:space="preserve">Yes. Based on the site and printed materials, </w:t>
      </w:r>
      <w:proofErr w:type="spellStart"/>
      <w:r>
        <w:rPr>
          <w:rFonts w:ascii="Segoe UI" w:eastAsia="Segoe UI" w:hAnsi="Segoe UI" w:cs="Segoe UI"/>
          <w:sz w:val="22"/>
          <w:szCs w:val="22"/>
        </w:rPr>
        <w:t>PallyWally</w:t>
      </w:r>
      <w:proofErr w:type="spellEnd"/>
      <w:r>
        <w:rPr>
          <w:rFonts w:ascii="Segoe UI" w:eastAsia="Segoe UI" w:hAnsi="Segoe UI" w:cs="Segoe UI"/>
          <w:sz w:val="22"/>
          <w:szCs w:val="22"/>
        </w:rPr>
        <w:t xml:space="preserve"> is presented as free with no sign up required.</w:t>
      </w:r>
    </w:p>
    <w:p w14:paraId="01934225" w14:textId="77777777" w:rsidR="00C85909" w:rsidRDefault="00000000">
      <w:pPr>
        <w:pStyle w:val="Heading2"/>
        <w:spacing w:before="200" w:after="120"/>
      </w:pPr>
      <w:r>
        <w:rPr>
          <w:rFonts w:ascii="Cambria" w:eastAsia="Cambria" w:hAnsi="Cambria" w:cs="Cambria"/>
          <w:b/>
          <w:bCs/>
          <w:color w:val="00274C"/>
        </w:rPr>
        <w:t>What does the Doc Summary tool do, and who is it for</w:t>
      </w:r>
    </w:p>
    <w:p w14:paraId="095D242A" w14:textId="77777777" w:rsidR="00C85909" w:rsidRDefault="00000000">
      <w:pPr>
        <w:spacing w:after="200"/>
      </w:pPr>
      <w:r>
        <w:rPr>
          <w:rFonts w:ascii="Segoe UI" w:eastAsia="Segoe UI" w:hAnsi="Segoe UI" w:cs="Segoe UI"/>
          <w:sz w:val="22"/>
          <w:szCs w:val="22"/>
        </w:rPr>
        <w:t>A client or case worker can paste in text or upload a document such as a benefits denial letter, a medical bill or insurance explanation of benefits, a lease agreement, a court or eviction notice, or a financial aid award letter, in txt, pdf, or docx format, and the tool returns the key points, deadlines, and required actions in plain language.</w:t>
      </w:r>
    </w:p>
    <w:p w14:paraId="554124DE" w14:textId="77777777" w:rsidR="00C85909" w:rsidRDefault="00000000">
      <w:pPr>
        <w:pStyle w:val="ListParagraph"/>
        <w:numPr>
          <w:ilvl w:val="0"/>
          <w:numId w:val="2"/>
        </w:numPr>
        <w:spacing w:after="120"/>
      </w:pPr>
      <w:r>
        <w:rPr>
          <w:rFonts w:ascii="Segoe UI" w:eastAsia="Segoe UI" w:hAnsi="Segoe UI" w:cs="Segoe UI"/>
          <w:sz w:val="22"/>
          <w:szCs w:val="22"/>
        </w:rPr>
        <w:t xml:space="preserve">For clients: understanding what a letter or bill is </w:t>
      </w:r>
      <w:proofErr w:type="gramStart"/>
      <w:r>
        <w:rPr>
          <w:rFonts w:ascii="Segoe UI" w:eastAsia="Segoe UI" w:hAnsi="Segoe UI" w:cs="Segoe UI"/>
          <w:sz w:val="22"/>
          <w:szCs w:val="22"/>
        </w:rPr>
        <w:t>actually asking</w:t>
      </w:r>
      <w:proofErr w:type="gramEnd"/>
      <w:r>
        <w:rPr>
          <w:rFonts w:ascii="Segoe UI" w:eastAsia="Segoe UI" w:hAnsi="Segoe UI" w:cs="Segoe UI"/>
          <w:sz w:val="22"/>
          <w:szCs w:val="22"/>
        </w:rPr>
        <w:t xml:space="preserve"> of them, and by when, without waiting for their next appointment.</w:t>
      </w:r>
    </w:p>
    <w:p w14:paraId="3F30342C" w14:textId="77777777" w:rsidR="00C85909" w:rsidRDefault="00000000">
      <w:pPr>
        <w:pStyle w:val="ListParagraph"/>
        <w:numPr>
          <w:ilvl w:val="0"/>
          <w:numId w:val="2"/>
        </w:numPr>
        <w:spacing w:after="120"/>
      </w:pPr>
      <w:r>
        <w:rPr>
          <w:rFonts w:ascii="Segoe UI" w:eastAsia="Segoe UI" w:hAnsi="Segoe UI" w:cs="Segoe UI"/>
          <w:sz w:val="22"/>
          <w:szCs w:val="22"/>
        </w:rPr>
        <w:t xml:space="preserve">For case workers: not having to read every page of a dense document aloud during an </w:t>
      </w:r>
      <w:proofErr w:type="gramStart"/>
      <w:r>
        <w:rPr>
          <w:rFonts w:ascii="Segoe UI" w:eastAsia="Segoe UI" w:hAnsi="Segoe UI" w:cs="Segoe UI"/>
          <w:sz w:val="22"/>
          <w:szCs w:val="22"/>
        </w:rPr>
        <w:t>intake, and</w:t>
      </w:r>
      <w:proofErr w:type="gramEnd"/>
      <w:r>
        <w:rPr>
          <w:rFonts w:ascii="Segoe UI" w:eastAsia="Segoe UI" w:hAnsi="Segoe UI" w:cs="Segoe UI"/>
          <w:sz w:val="22"/>
          <w:szCs w:val="22"/>
        </w:rPr>
        <w:t xml:space="preserve"> being less likely to miss a deadline or requirement buried in the fine print, especially when a client arrives with several documents at once.</w:t>
      </w:r>
    </w:p>
    <w:p w14:paraId="374E6423" w14:textId="77777777" w:rsidR="00C85909" w:rsidRDefault="00000000">
      <w:pPr>
        <w:pStyle w:val="Heading2"/>
        <w:spacing w:before="200" w:after="120"/>
      </w:pPr>
      <w:r>
        <w:rPr>
          <w:rFonts w:ascii="Cambria" w:eastAsia="Cambria" w:hAnsi="Cambria" w:cs="Cambria"/>
          <w:b/>
          <w:bCs/>
          <w:color w:val="00274C"/>
        </w:rPr>
        <w:t>What does the Write My Letter tool do</w:t>
      </w:r>
    </w:p>
    <w:p w14:paraId="5564589F" w14:textId="77777777" w:rsidR="00C85909" w:rsidRDefault="00000000">
      <w:pPr>
        <w:spacing w:after="200"/>
      </w:pPr>
      <w:r>
        <w:rPr>
          <w:rFonts w:ascii="Segoe UI" w:eastAsia="Segoe UI" w:hAnsi="Segoe UI" w:cs="Segoe UI"/>
          <w:sz w:val="22"/>
          <w:szCs w:val="22"/>
        </w:rPr>
        <w:lastRenderedPageBreak/>
        <w:t xml:space="preserve">It drafts an appeal, which disputes a decision already made, such as a benefits denial or an eligibility determination, or a request, which asks for something before any decision has been made against the client, such as a payment extension, a fee waiver, or </w:t>
      </w:r>
      <w:proofErr w:type="gramStart"/>
      <w:r>
        <w:rPr>
          <w:rFonts w:ascii="Segoe UI" w:eastAsia="Segoe UI" w:hAnsi="Segoe UI" w:cs="Segoe UI"/>
          <w:sz w:val="22"/>
          <w:szCs w:val="22"/>
        </w:rPr>
        <w:t>an accommodation</w:t>
      </w:r>
      <w:proofErr w:type="gramEnd"/>
      <w:r>
        <w:rPr>
          <w:rFonts w:ascii="Segoe UI" w:eastAsia="Segoe UI" w:hAnsi="Segoe UI" w:cs="Segoe UI"/>
          <w:sz w:val="22"/>
          <w:szCs w:val="22"/>
        </w:rPr>
        <w:t>. It can also draft a follow up letter or proofread an existing draft. Case workers or clients should still review any letter before it is submitted, especially for accuracy and any agency specific requirements.</w:t>
      </w:r>
    </w:p>
    <w:p w14:paraId="05A8B7AA" w14:textId="77777777" w:rsidR="00C85909" w:rsidRDefault="00000000">
      <w:pPr>
        <w:pStyle w:val="Heading2"/>
        <w:spacing w:before="200" w:after="120"/>
      </w:pPr>
      <w:r>
        <w:rPr>
          <w:rFonts w:ascii="Cambria" w:eastAsia="Cambria" w:hAnsi="Cambria" w:cs="Cambria"/>
          <w:b/>
          <w:bCs/>
          <w:color w:val="00274C"/>
        </w:rPr>
        <w:t>What do the Resume Builder and Career Advisor do</w:t>
      </w:r>
    </w:p>
    <w:p w14:paraId="349A9773" w14:textId="77777777" w:rsidR="00C85909" w:rsidRDefault="00000000">
      <w:pPr>
        <w:spacing w:after="200"/>
      </w:pPr>
      <w:r>
        <w:rPr>
          <w:rFonts w:ascii="Segoe UI" w:eastAsia="Segoe UI" w:hAnsi="Segoe UI" w:cs="Segoe UI"/>
          <w:sz w:val="22"/>
          <w:szCs w:val="22"/>
        </w:rPr>
        <w:t>The Resume Builder turns a client's job title, industry, experience, and skills into a formatted resume. The Career Advisor answers general career questions, such as internships, majors, and next steps, based on a client's background, skills, and goals. Both give clients without workforce development support a useful starting point, so that specialized workforce counselors can focus their time on more individualized guidance.</w:t>
      </w:r>
    </w:p>
    <w:p w14:paraId="29B0F470" w14:textId="77777777" w:rsidR="00C85909" w:rsidRDefault="00000000">
      <w:pPr>
        <w:pStyle w:val="Heading2"/>
        <w:spacing w:before="200" w:after="120"/>
      </w:pPr>
      <w:r>
        <w:rPr>
          <w:rFonts w:ascii="Cambria" w:eastAsia="Cambria" w:hAnsi="Cambria" w:cs="Cambria"/>
          <w:b/>
          <w:bCs/>
          <w:color w:val="00274C"/>
        </w:rPr>
        <w:t>What about accuracy</w:t>
      </w:r>
    </w:p>
    <w:p w14:paraId="049E487B" w14:textId="77777777" w:rsidR="00C85909" w:rsidRDefault="00000000">
      <w:pPr>
        <w:spacing w:after="200"/>
      </w:pPr>
      <w:r>
        <w:rPr>
          <w:rFonts w:ascii="Segoe UI" w:eastAsia="Segoe UI" w:hAnsi="Segoe UI" w:cs="Segoe UI"/>
          <w:sz w:val="22"/>
          <w:szCs w:val="22"/>
        </w:rPr>
        <w:t>As with any tool of this kind, outputs should be treated as drafts or starting points rather than final or authoritative documents. Case workers should review anything before it is relied upon for a formal decision, submission, or filing, particularly appeal and request letters and document summaries tied to benefits or legal matters.</w:t>
      </w:r>
    </w:p>
    <w:p w14:paraId="474F375A" w14:textId="77777777" w:rsidR="00C85909" w:rsidRDefault="00000000">
      <w:pPr>
        <w:pStyle w:val="Heading2"/>
        <w:spacing w:before="200" w:after="120"/>
      </w:pPr>
      <w:r>
        <w:rPr>
          <w:rFonts w:ascii="Cambria" w:eastAsia="Cambria" w:hAnsi="Cambria" w:cs="Cambria"/>
          <w:b/>
          <w:bCs/>
          <w:color w:val="00274C"/>
        </w:rPr>
        <w:t>What about client privacy</w:t>
      </w:r>
    </w:p>
    <w:p w14:paraId="450B5907" w14:textId="77777777" w:rsidR="00C85909" w:rsidRDefault="00000000">
      <w:pPr>
        <w:spacing w:after="200"/>
      </w:pPr>
      <w:r>
        <w:rPr>
          <w:rFonts w:ascii="Segoe UI" w:eastAsia="Segoe UI" w:hAnsi="Segoe UI" w:cs="Segoe UI"/>
          <w:sz w:val="22"/>
          <w:szCs w:val="22"/>
        </w:rPr>
        <w:t xml:space="preserve">Clients are not required to sign up or provide identifying information to search for services. Case workers and clients who consider pasting personal documents, such as benefits letters or resumes, into the tool should use the same data handling caution they would apply to any online </w:t>
      </w:r>
      <w:proofErr w:type="gramStart"/>
      <w:r>
        <w:rPr>
          <w:rFonts w:ascii="Segoe UI" w:eastAsia="Segoe UI" w:hAnsi="Segoe UI" w:cs="Segoe UI"/>
          <w:sz w:val="22"/>
          <w:szCs w:val="22"/>
        </w:rPr>
        <w:t>tool, and</w:t>
      </w:r>
      <w:proofErr w:type="gramEnd"/>
      <w:r>
        <w:rPr>
          <w:rFonts w:ascii="Segoe UI" w:eastAsia="Segoe UI" w:hAnsi="Segoe UI" w:cs="Segoe UI"/>
          <w:sz w:val="22"/>
          <w:szCs w:val="22"/>
        </w:rPr>
        <w:t xml:space="preserve"> should avoid including highly sensitive identifiers unless necessary.</w:t>
      </w:r>
    </w:p>
    <w:p w14:paraId="5F633982" w14:textId="77777777" w:rsidR="00C85909" w:rsidRDefault="00000000">
      <w:pPr>
        <w:pStyle w:val="Heading2"/>
        <w:spacing w:before="200" w:after="120"/>
      </w:pPr>
      <w:r>
        <w:rPr>
          <w:rFonts w:ascii="Cambria" w:eastAsia="Cambria" w:hAnsi="Cambria" w:cs="Cambria"/>
          <w:b/>
          <w:bCs/>
          <w:color w:val="00274C"/>
        </w:rPr>
        <w:t>Will this create inconsistent information across our team</w:t>
      </w:r>
    </w:p>
    <w:p w14:paraId="7CA21381" w14:textId="77777777" w:rsidR="00C85909" w:rsidRDefault="00000000">
      <w:pPr>
        <w:spacing w:after="200"/>
      </w:pPr>
      <w:r>
        <w:rPr>
          <w:rFonts w:ascii="Segoe UI" w:eastAsia="Segoe UI" w:hAnsi="Segoe UI" w:cs="Segoe UI"/>
          <w:sz w:val="22"/>
          <w:szCs w:val="22"/>
        </w:rPr>
        <w:t xml:space="preserve">It should reduce inconsistency rather than increase it, since all staff and clients would be </w:t>
      </w:r>
      <w:proofErr w:type="gramStart"/>
      <w:r>
        <w:rPr>
          <w:rFonts w:ascii="Segoe UI" w:eastAsia="Segoe UI" w:hAnsi="Segoe UI" w:cs="Segoe UI"/>
          <w:sz w:val="22"/>
          <w:szCs w:val="22"/>
        </w:rPr>
        <w:t>pulling</w:t>
      </w:r>
      <w:proofErr w:type="gramEnd"/>
      <w:r>
        <w:rPr>
          <w:rFonts w:ascii="Segoe UI" w:eastAsia="Segoe UI" w:hAnsi="Segoe UI" w:cs="Segoe UI"/>
          <w:sz w:val="22"/>
          <w:szCs w:val="22"/>
        </w:rPr>
        <w:t xml:space="preserve"> from the same underlying directory of services rather than each case worker maintaining a separate, possibly outdated, personal reference list.</w:t>
      </w:r>
    </w:p>
    <w:p w14:paraId="70D32F8D" w14:textId="77777777" w:rsidR="00C85909" w:rsidRDefault="00000000">
      <w:pPr>
        <w:pStyle w:val="Heading2"/>
        <w:spacing w:before="200" w:after="120"/>
      </w:pPr>
      <w:r>
        <w:rPr>
          <w:rFonts w:ascii="Cambria" w:eastAsia="Cambria" w:hAnsi="Cambria" w:cs="Cambria"/>
          <w:b/>
          <w:bCs/>
          <w:color w:val="00274C"/>
        </w:rPr>
        <w:t>What does the college student section offer</w:t>
      </w:r>
    </w:p>
    <w:p w14:paraId="70D41F71" w14:textId="77777777" w:rsidR="00C85909" w:rsidRDefault="00000000">
      <w:pPr>
        <w:spacing w:after="200"/>
      </w:pPr>
      <w:r>
        <w:rPr>
          <w:rFonts w:ascii="Segoe UI" w:eastAsia="Segoe UI" w:hAnsi="Segoe UI" w:cs="Segoe UI"/>
          <w:sz w:val="22"/>
          <w:szCs w:val="22"/>
        </w:rPr>
        <w:t>At pallywally.org/students, requests are matched to the student's specific school, city, and state, surfacing campus specific resources, such as a college's own food pantry or emergency aid fund, alongside city and nationwide programs. This is useful for case workers who serve student populations, since each school otherwise has its own separate, often hard to find process.</w:t>
      </w:r>
    </w:p>
    <w:p w14:paraId="14C72F8F" w14:textId="77777777" w:rsidR="00C85909" w:rsidRDefault="00000000">
      <w:pPr>
        <w:pStyle w:val="Heading2"/>
        <w:spacing w:before="200" w:after="120"/>
      </w:pPr>
      <w:r>
        <w:rPr>
          <w:rFonts w:ascii="Cambria" w:eastAsia="Cambria" w:hAnsi="Cambria" w:cs="Cambria"/>
          <w:b/>
          <w:bCs/>
          <w:color w:val="00274C"/>
        </w:rPr>
        <w:t>What is the recommended way to roll this out</w:t>
      </w:r>
    </w:p>
    <w:p w14:paraId="38783E04" w14:textId="77777777" w:rsidR="00C85909" w:rsidRDefault="00000000">
      <w:pPr>
        <w:spacing w:after="200"/>
      </w:pPr>
      <w:r>
        <w:rPr>
          <w:rFonts w:ascii="Segoe UI" w:eastAsia="Segoe UI" w:hAnsi="Segoe UI" w:cs="Segoe UI"/>
          <w:sz w:val="22"/>
          <w:szCs w:val="22"/>
        </w:rPr>
        <w:t xml:space="preserve">Treat it as an optional supplement that staff and clients can use between or before appointments, not as a required intake step. Staff should continue reviewing anything client </w:t>
      </w:r>
      <w:proofErr w:type="gramStart"/>
      <w:r>
        <w:rPr>
          <w:rFonts w:ascii="Segoe UI" w:eastAsia="Segoe UI" w:hAnsi="Segoe UI" w:cs="Segoe UI"/>
          <w:sz w:val="22"/>
          <w:szCs w:val="22"/>
        </w:rPr>
        <w:t>facing</w:t>
      </w:r>
      <w:proofErr w:type="gramEnd"/>
      <w:r>
        <w:rPr>
          <w:rFonts w:ascii="Segoe UI" w:eastAsia="Segoe UI" w:hAnsi="Segoe UI" w:cs="Segoe UI"/>
          <w:sz w:val="22"/>
          <w:szCs w:val="22"/>
        </w:rPr>
        <w:t>, such as letters or summaries, that will be submitted formally.</w:t>
      </w:r>
    </w:p>
    <w:p w14:paraId="77EFFAB6" w14:textId="77777777" w:rsidR="00C85909" w:rsidRDefault="00000000">
      <w:pPr>
        <w:pStyle w:val="Heading2"/>
        <w:spacing w:before="200" w:after="120"/>
      </w:pPr>
      <w:r>
        <w:rPr>
          <w:rFonts w:ascii="Cambria" w:eastAsia="Cambria" w:hAnsi="Cambria" w:cs="Cambria"/>
          <w:b/>
          <w:bCs/>
          <w:color w:val="00274C"/>
        </w:rPr>
        <w:t>What are we asking leadership to approve</w:t>
      </w:r>
    </w:p>
    <w:p w14:paraId="4C722176" w14:textId="77777777" w:rsidR="00C85909" w:rsidRDefault="00000000">
      <w:pPr>
        <w:pStyle w:val="ListParagraph"/>
        <w:numPr>
          <w:ilvl w:val="0"/>
          <w:numId w:val="2"/>
        </w:numPr>
        <w:spacing w:after="120"/>
      </w:pPr>
      <w:r>
        <w:rPr>
          <w:rFonts w:ascii="Segoe UI" w:eastAsia="Segoe UI" w:hAnsi="Segoe UI" w:cs="Segoe UI"/>
          <w:sz w:val="22"/>
          <w:szCs w:val="22"/>
        </w:rPr>
        <w:t>Add PallyWally.org to the organization's approved resources list so staff can share it with clients without individual exceptions.</w:t>
      </w:r>
    </w:p>
    <w:p w14:paraId="517A83C2" w14:textId="77777777" w:rsidR="00C85909" w:rsidRDefault="00000000">
      <w:pPr>
        <w:pStyle w:val="ListParagraph"/>
        <w:numPr>
          <w:ilvl w:val="0"/>
          <w:numId w:val="2"/>
        </w:numPr>
        <w:spacing w:after="120"/>
      </w:pPr>
      <w:r>
        <w:rPr>
          <w:rFonts w:ascii="Segoe UI" w:eastAsia="Segoe UI" w:hAnsi="Segoe UI" w:cs="Segoe UI"/>
          <w:sz w:val="22"/>
          <w:szCs w:val="22"/>
        </w:rPr>
        <w:lastRenderedPageBreak/>
        <w:t>Permit staff to use the document summary and letter drafting tools as an optional starting point in casework, subject to staff review before anything is finalized or submitted.</w:t>
      </w:r>
    </w:p>
    <w:p w14:paraId="641D85C9" w14:textId="77777777" w:rsidR="00C85909" w:rsidRDefault="00000000">
      <w:pPr>
        <w:pStyle w:val="Heading2"/>
        <w:spacing w:before="200" w:after="120"/>
      </w:pPr>
      <w:r>
        <w:rPr>
          <w:rFonts w:ascii="Cambria" w:eastAsia="Cambria" w:hAnsi="Cambria" w:cs="Cambria"/>
          <w:b/>
          <w:bCs/>
          <w:color w:val="00274C"/>
        </w:rPr>
        <w:t>Who do we contact with questions</w:t>
      </w:r>
    </w:p>
    <w:p w14:paraId="5BA267D4" w14:textId="79BEF2B8" w:rsidR="00C85909" w:rsidRDefault="00A17780">
      <w:pPr>
        <w:spacing w:after="200"/>
        <w:rPr>
          <w:rFonts w:ascii="Segoe UI" w:eastAsia="Segoe UI" w:hAnsi="Segoe UI" w:cs="Segoe UI"/>
          <w:sz w:val="22"/>
          <w:szCs w:val="22"/>
        </w:rPr>
      </w:pPr>
      <w:r>
        <w:rPr>
          <w:rFonts w:ascii="Segoe UI" w:eastAsia="Segoe UI" w:hAnsi="Segoe UI" w:cs="Segoe UI"/>
          <w:sz w:val="22"/>
          <w:szCs w:val="22"/>
        </w:rPr>
        <w:t xml:space="preserve">Contact Us: </w:t>
      </w:r>
      <w:hyperlink r:id="rId5" w:history="1">
        <w:r w:rsidRPr="00AA2D08">
          <w:rPr>
            <w:rStyle w:val="Hyperlink"/>
            <w:rFonts w:ascii="Segoe UI" w:eastAsia="Segoe UI" w:hAnsi="Segoe UI" w:cs="Segoe UI"/>
            <w:sz w:val="22"/>
            <w:szCs w:val="22"/>
          </w:rPr>
          <w:t>https://pallywally.org/contact/</w:t>
        </w:r>
      </w:hyperlink>
    </w:p>
    <w:p w14:paraId="4B978A8C" w14:textId="77777777" w:rsidR="00A17780" w:rsidRDefault="00A17780">
      <w:pPr>
        <w:spacing w:after="200"/>
      </w:pPr>
    </w:p>
    <w:sectPr w:rsidR="00A17780">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A4D"/>
    <w:multiLevelType w:val="hybridMultilevel"/>
    <w:tmpl w:val="9DDC80BC"/>
    <w:lvl w:ilvl="0" w:tplc="1174D1C8">
      <w:start w:val="1"/>
      <w:numFmt w:val="bullet"/>
      <w:lvlText w:val="•"/>
      <w:lvlJc w:val="left"/>
      <w:pPr>
        <w:ind w:left="720" w:hanging="360"/>
      </w:pPr>
    </w:lvl>
    <w:lvl w:ilvl="1" w:tplc="74D2F9A6">
      <w:numFmt w:val="decimal"/>
      <w:lvlText w:val=""/>
      <w:lvlJc w:val="left"/>
    </w:lvl>
    <w:lvl w:ilvl="2" w:tplc="08B0A7B2">
      <w:numFmt w:val="decimal"/>
      <w:lvlText w:val=""/>
      <w:lvlJc w:val="left"/>
    </w:lvl>
    <w:lvl w:ilvl="3" w:tplc="09AC5A04">
      <w:numFmt w:val="decimal"/>
      <w:lvlText w:val=""/>
      <w:lvlJc w:val="left"/>
    </w:lvl>
    <w:lvl w:ilvl="4" w:tplc="C6CABF40">
      <w:numFmt w:val="decimal"/>
      <w:lvlText w:val=""/>
      <w:lvlJc w:val="left"/>
    </w:lvl>
    <w:lvl w:ilvl="5" w:tplc="6CCC6622">
      <w:numFmt w:val="decimal"/>
      <w:lvlText w:val=""/>
      <w:lvlJc w:val="left"/>
    </w:lvl>
    <w:lvl w:ilvl="6" w:tplc="A9E078E0">
      <w:numFmt w:val="decimal"/>
      <w:lvlText w:val=""/>
      <w:lvlJc w:val="left"/>
    </w:lvl>
    <w:lvl w:ilvl="7" w:tplc="91C4B354">
      <w:numFmt w:val="decimal"/>
      <w:lvlText w:val=""/>
      <w:lvlJc w:val="left"/>
    </w:lvl>
    <w:lvl w:ilvl="8" w:tplc="1D8831D6">
      <w:numFmt w:val="decimal"/>
      <w:lvlText w:val=""/>
      <w:lvlJc w:val="left"/>
    </w:lvl>
  </w:abstractNum>
  <w:abstractNum w:abstractNumId="1" w15:restartNumberingAfterBreak="0">
    <w:nsid w:val="44454014"/>
    <w:multiLevelType w:val="hybridMultilevel"/>
    <w:tmpl w:val="AA5AB370"/>
    <w:lvl w:ilvl="0" w:tplc="58F29570">
      <w:start w:val="1"/>
      <w:numFmt w:val="bullet"/>
      <w:lvlText w:val="●"/>
      <w:lvlJc w:val="left"/>
      <w:pPr>
        <w:ind w:left="720" w:hanging="360"/>
      </w:pPr>
    </w:lvl>
    <w:lvl w:ilvl="1" w:tplc="553EC154">
      <w:start w:val="1"/>
      <w:numFmt w:val="bullet"/>
      <w:lvlText w:val="○"/>
      <w:lvlJc w:val="left"/>
      <w:pPr>
        <w:ind w:left="1440" w:hanging="360"/>
      </w:pPr>
    </w:lvl>
    <w:lvl w:ilvl="2" w:tplc="4F42240E">
      <w:start w:val="1"/>
      <w:numFmt w:val="bullet"/>
      <w:lvlText w:val="■"/>
      <w:lvlJc w:val="left"/>
      <w:pPr>
        <w:ind w:left="2160" w:hanging="360"/>
      </w:pPr>
    </w:lvl>
    <w:lvl w:ilvl="3" w:tplc="7CAC3186">
      <w:start w:val="1"/>
      <w:numFmt w:val="bullet"/>
      <w:lvlText w:val="●"/>
      <w:lvlJc w:val="left"/>
      <w:pPr>
        <w:ind w:left="2880" w:hanging="360"/>
      </w:pPr>
    </w:lvl>
    <w:lvl w:ilvl="4" w:tplc="6DB67260">
      <w:start w:val="1"/>
      <w:numFmt w:val="bullet"/>
      <w:lvlText w:val="○"/>
      <w:lvlJc w:val="left"/>
      <w:pPr>
        <w:ind w:left="3600" w:hanging="360"/>
      </w:pPr>
    </w:lvl>
    <w:lvl w:ilvl="5" w:tplc="365AAC00">
      <w:start w:val="1"/>
      <w:numFmt w:val="bullet"/>
      <w:lvlText w:val="■"/>
      <w:lvlJc w:val="left"/>
      <w:pPr>
        <w:ind w:left="4320" w:hanging="360"/>
      </w:pPr>
    </w:lvl>
    <w:lvl w:ilvl="6" w:tplc="285002D6">
      <w:start w:val="1"/>
      <w:numFmt w:val="bullet"/>
      <w:lvlText w:val="●"/>
      <w:lvlJc w:val="left"/>
      <w:pPr>
        <w:ind w:left="5040" w:hanging="360"/>
      </w:pPr>
    </w:lvl>
    <w:lvl w:ilvl="7" w:tplc="425070CA">
      <w:start w:val="1"/>
      <w:numFmt w:val="bullet"/>
      <w:lvlText w:val="●"/>
      <w:lvlJc w:val="left"/>
      <w:pPr>
        <w:ind w:left="5760" w:hanging="360"/>
      </w:pPr>
    </w:lvl>
    <w:lvl w:ilvl="8" w:tplc="691A7E64">
      <w:start w:val="1"/>
      <w:numFmt w:val="bullet"/>
      <w:lvlText w:val="●"/>
      <w:lvlJc w:val="left"/>
      <w:pPr>
        <w:ind w:left="6480" w:hanging="360"/>
      </w:pPr>
    </w:lvl>
  </w:abstractNum>
  <w:num w:numId="1" w16cid:durableId="955481218">
    <w:abstractNumId w:val="1"/>
    <w:lvlOverride w:ilvl="0">
      <w:startOverride w:val="1"/>
    </w:lvlOverride>
  </w:num>
  <w:num w:numId="2" w16cid:durableId="12720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09"/>
    <w:rsid w:val="00A17780"/>
    <w:rsid w:val="00C85909"/>
    <w:rsid w:val="00DD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AE5E"/>
  <w15:docId w15:val="{4290C1F2-E3E7-446D-9A12-A14D590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1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llywally.org/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926</Words>
  <Characters>4956</Characters>
  <Application>Microsoft Office Word</Application>
  <DocSecurity>0</DocSecurity>
  <Lines>81</Lines>
  <Paragraphs>39</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 Fan</cp:lastModifiedBy>
  <cp:revision>2</cp:revision>
  <dcterms:created xsi:type="dcterms:W3CDTF">2026-07-24T15:29:00Z</dcterms:created>
  <dcterms:modified xsi:type="dcterms:W3CDTF">2026-07-24T15:42:00Z</dcterms:modified>
</cp:coreProperties>
</file>